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1E3DD" w14:textId="77777777" w:rsidR="007E4C7B" w:rsidRPr="003B03D6" w:rsidRDefault="003B03D6" w:rsidP="003B03D6">
      <w:pPr>
        <w:jc w:val="center"/>
        <w:rPr>
          <w:sz w:val="28"/>
          <w:szCs w:val="28"/>
        </w:rPr>
      </w:pPr>
      <w:r w:rsidRPr="003B03D6">
        <w:rPr>
          <w:sz w:val="28"/>
          <w:szCs w:val="28"/>
        </w:rPr>
        <w:t>SPRAWOZDANIE FINANSOWE</w:t>
      </w:r>
    </w:p>
    <w:p w14:paraId="504F69BB" w14:textId="77777777" w:rsidR="003B03D6" w:rsidRDefault="003B03D6" w:rsidP="003B03D6">
      <w:pPr>
        <w:ind w:left="2124"/>
      </w:pPr>
    </w:p>
    <w:p w14:paraId="1197F99D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Gminna Biblioteka Publiczna w Grzmiącej</w:t>
      </w:r>
    </w:p>
    <w:p w14:paraId="0E4FA4E0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ul. Kolejowa 7, 78-450 Grzmiąca</w:t>
      </w:r>
    </w:p>
    <w:p w14:paraId="2074D8A1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NIP: 673-18-67-082</w:t>
      </w:r>
    </w:p>
    <w:p w14:paraId="3DA75541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Regon: 320633795</w:t>
      </w:r>
    </w:p>
    <w:p w14:paraId="577E845D" w14:textId="77777777" w:rsidR="003B03D6" w:rsidRPr="003B03D6" w:rsidRDefault="003B03D6">
      <w:pPr>
        <w:rPr>
          <w:sz w:val="24"/>
          <w:szCs w:val="24"/>
        </w:rPr>
      </w:pPr>
    </w:p>
    <w:p w14:paraId="2BA8D740" w14:textId="77777777" w:rsidR="003B03D6" w:rsidRPr="003B03D6" w:rsidRDefault="003B03D6">
      <w:pPr>
        <w:rPr>
          <w:sz w:val="24"/>
          <w:szCs w:val="24"/>
        </w:rPr>
      </w:pPr>
    </w:p>
    <w:p w14:paraId="07568892" w14:textId="77777777" w:rsid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Wprowadzenie do sprawozdania finansowego</w:t>
      </w:r>
    </w:p>
    <w:p w14:paraId="1DC2061C" w14:textId="77777777" w:rsidR="003B03D6" w:rsidRPr="003B03D6" w:rsidRDefault="003B03D6" w:rsidP="003B03D6">
      <w:pPr>
        <w:jc w:val="center"/>
        <w:rPr>
          <w:sz w:val="24"/>
          <w:szCs w:val="24"/>
        </w:rPr>
      </w:pPr>
      <w:r w:rsidRPr="003B03D6">
        <w:rPr>
          <w:sz w:val="24"/>
          <w:szCs w:val="24"/>
        </w:rPr>
        <w:t>sporządzonego na dzień 31 grudnia 202</w:t>
      </w:r>
      <w:r w:rsidR="007814CE">
        <w:rPr>
          <w:sz w:val="24"/>
          <w:szCs w:val="24"/>
        </w:rPr>
        <w:t>2</w:t>
      </w:r>
      <w:r w:rsidRPr="003B03D6">
        <w:rPr>
          <w:sz w:val="24"/>
          <w:szCs w:val="24"/>
        </w:rPr>
        <w:t xml:space="preserve"> r.</w:t>
      </w:r>
    </w:p>
    <w:p w14:paraId="37711512" w14:textId="77777777" w:rsidR="003B03D6" w:rsidRDefault="003B03D6">
      <w:pPr>
        <w:rPr>
          <w:sz w:val="24"/>
          <w:szCs w:val="24"/>
        </w:rPr>
      </w:pPr>
    </w:p>
    <w:p w14:paraId="08423686" w14:textId="77777777" w:rsidR="003B03D6" w:rsidRDefault="003B03D6">
      <w:pPr>
        <w:rPr>
          <w:sz w:val="24"/>
          <w:szCs w:val="24"/>
        </w:rPr>
      </w:pPr>
    </w:p>
    <w:p w14:paraId="6F326421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Gminna Biblioteka Publiczna w Grzmiącej została utworzona na mocy Uchwały Rady       Gminy  nr XXIII/159/2008 z dnia 30 grudnia 2008 roku. GBP jest samorządową instytucją kultury. Organizatorem Biblioteki jest Rada Gminy Grzmiąca. Instytucja wpisana jest do  rejestru instytucji kultury  prowadzonego przez Urząd Gminy w Grzmiącej pod nr 1.</w:t>
      </w:r>
    </w:p>
    <w:p w14:paraId="7B3841B1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Nadzór nad Biblioteką sprawuje Wójt Gminy Gr</w:t>
      </w:r>
      <w:r w:rsidR="009E30E1" w:rsidRPr="008727DD">
        <w:rPr>
          <w:sz w:val="24"/>
          <w:szCs w:val="24"/>
        </w:rPr>
        <w:t>z</w:t>
      </w:r>
      <w:r w:rsidRPr="008727DD">
        <w:rPr>
          <w:sz w:val="24"/>
          <w:szCs w:val="24"/>
        </w:rPr>
        <w:t>miąca.</w:t>
      </w:r>
    </w:p>
    <w:p w14:paraId="383D1F4F" w14:textId="77777777" w:rsidR="003B03D6" w:rsidRPr="008727DD" w:rsidRDefault="003B03D6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Prze</w:t>
      </w:r>
      <w:r w:rsidR="009E30E1" w:rsidRPr="008727DD">
        <w:rPr>
          <w:sz w:val="24"/>
          <w:szCs w:val="24"/>
        </w:rPr>
        <w:t>d</w:t>
      </w:r>
      <w:r w:rsidRPr="008727DD">
        <w:rPr>
          <w:sz w:val="24"/>
          <w:szCs w:val="24"/>
        </w:rPr>
        <w:t>miotem działalnoś</w:t>
      </w:r>
      <w:r w:rsidR="009E30E1" w:rsidRPr="008727DD">
        <w:rPr>
          <w:sz w:val="24"/>
          <w:szCs w:val="24"/>
        </w:rPr>
        <w:t>c</w:t>
      </w:r>
      <w:r w:rsidRPr="008727DD">
        <w:rPr>
          <w:sz w:val="24"/>
          <w:szCs w:val="24"/>
        </w:rPr>
        <w:t xml:space="preserve">i </w:t>
      </w:r>
      <w:r w:rsidR="009E30E1" w:rsidRPr="008727DD">
        <w:rPr>
          <w:sz w:val="24"/>
          <w:szCs w:val="24"/>
        </w:rPr>
        <w:t>Biblioteki jest gromadzenie, opracowywanie, przechowywanie i udostępnianie zbiorów bibliotecznych, rozwijanie i zaspokajanie potrzeb czytelniczych, upowszechnianie wiedzy i nauki poprzez działalność placówek bibliotecznych na terenie gminy Grzmiąca.</w:t>
      </w:r>
    </w:p>
    <w:p w14:paraId="1BE6E4DB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obejmuje okres od 01.01.202</w:t>
      </w:r>
      <w:r w:rsidR="007814CE">
        <w:rPr>
          <w:sz w:val="24"/>
          <w:szCs w:val="24"/>
        </w:rPr>
        <w:t>2</w:t>
      </w:r>
      <w:r w:rsidRPr="008727DD">
        <w:rPr>
          <w:sz w:val="24"/>
          <w:szCs w:val="24"/>
        </w:rPr>
        <w:t xml:space="preserve"> do 31.12.202</w:t>
      </w:r>
      <w:r w:rsidR="007814CE">
        <w:rPr>
          <w:sz w:val="24"/>
          <w:szCs w:val="24"/>
        </w:rPr>
        <w:t>2</w:t>
      </w:r>
      <w:r w:rsidRPr="008727DD">
        <w:rPr>
          <w:sz w:val="24"/>
          <w:szCs w:val="24"/>
        </w:rPr>
        <w:t>r.</w:t>
      </w:r>
    </w:p>
    <w:p w14:paraId="03E66028" w14:textId="77777777" w:rsidR="009E30E1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Sprawozdanie finansowe sporządzone zostało przy założeniu możliwości dalszej kontynuacji działalności oraz nie istnieją okoliczności wskazujące na zagrożenie kontynuowania działalności w dotychczasowym zakresie.</w:t>
      </w:r>
    </w:p>
    <w:p w14:paraId="380393A8" w14:textId="77777777" w:rsidR="00E94400" w:rsidRPr="008727DD" w:rsidRDefault="009E30E1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Księgi rachunkowe prowadzone są techniką komputerową w systemie SYMFONIA, spełniającym warunki stawiane przez Ustawę o rachunkowości. Dane liczbowe w sprawozdaniu </w:t>
      </w:r>
      <w:r w:rsidR="00E94400" w:rsidRPr="008727DD">
        <w:rPr>
          <w:sz w:val="24"/>
          <w:szCs w:val="24"/>
        </w:rPr>
        <w:t xml:space="preserve">uzyskane z wydruków komputerowych </w:t>
      </w:r>
      <w:r w:rsidRPr="008727DD">
        <w:rPr>
          <w:sz w:val="24"/>
          <w:szCs w:val="24"/>
        </w:rPr>
        <w:t>ujęte zostały w pełnych zło</w:t>
      </w:r>
      <w:r w:rsidR="00E94400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 xml:space="preserve">ych </w:t>
      </w:r>
      <w:r w:rsidR="00E94400" w:rsidRPr="008727DD">
        <w:rPr>
          <w:sz w:val="24"/>
          <w:szCs w:val="24"/>
        </w:rPr>
        <w:t>oraz groszach.</w:t>
      </w:r>
    </w:p>
    <w:p w14:paraId="7C44658D" w14:textId="77777777" w:rsidR="00E94400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Aktywa i pasywa wycenia się zgodnie z zasadami określonymi w Ustawie o rachunkowości, przy zastosowaniu reguły: cena nabycia z uwzględnieniem ewentualnej utraty wartości aktywów.</w:t>
      </w:r>
    </w:p>
    <w:p w14:paraId="66F8C409" w14:textId="77777777" w:rsidR="00010D2F" w:rsidRPr="008727DD" w:rsidRDefault="00E94400" w:rsidP="008727D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Odpisów amortyzacyjnych dokonuje się metodą liniową. Przy ustalaniu okresów amortyzacji rocznych stawek amortyzacyjnych środków trwałych oraz wartości niematerialnych i prawnych uwzględnia się stawki przewidziane  w przepisach podatkowych</w:t>
      </w:r>
      <w:r w:rsidR="00010D2F" w:rsidRPr="008727DD">
        <w:rPr>
          <w:sz w:val="24"/>
          <w:szCs w:val="24"/>
        </w:rPr>
        <w:t xml:space="preserve"> (załącznik nr 1 do ustawy o podatku dochodowym od osób fizycznych oraz ustawy o podatku dochodowym od osób prawnych).</w:t>
      </w:r>
    </w:p>
    <w:p w14:paraId="70858A2C" w14:textId="77777777" w:rsidR="009E30E1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lastRenderedPageBreak/>
        <w:t>Do amortyzacji środków trwałych oraz wartości niematerialnych i prawnych jednostka stosuje następujące zasady:</w:t>
      </w:r>
    </w:p>
    <w:p w14:paraId="4E12B252" w14:textId="77777777" w:rsidR="00BF0316" w:rsidRPr="008727DD" w:rsidRDefault="00010D2F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przedmioty mające cechy </w:t>
      </w:r>
      <w:r w:rsidR="00BF0316" w:rsidRPr="008727DD">
        <w:rPr>
          <w:sz w:val="24"/>
          <w:szCs w:val="24"/>
        </w:rPr>
        <w:t xml:space="preserve">środków trwałych oraz długotrwałego okresu użytkowania o wartości nie przekraczającej </w:t>
      </w:r>
      <w:r w:rsidR="00734916">
        <w:rPr>
          <w:sz w:val="24"/>
          <w:szCs w:val="24"/>
        </w:rPr>
        <w:t>3</w:t>
      </w:r>
      <w:r w:rsidR="00BF0316" w:rsidRPr="008727DD">
        <w:rPr>
          <w:sz w:val="24"/>
          <w:szCs w:val="24"/>
        </w:rPr>
        <w:t> 500,00 zł zalicz</w:t>
      </w:r>
      <w:r w:rsidR="00734916">
        <w:rPr>
          <w:sz w:val="24"/>
          <w:szCs w:val="24"/>
        </w:rPr>
        <w:t>a</w:t>
      </w:r>
      <w:r w:rsidR="00BF0316" w:rsidRPr="008727DD">
        <w:rPr>
          <w:sz w:val="24"/>
          <w:szCs w:val="24"/>
        </w:rPr>
        <w:t xml:space="preserve"> się do nisko cennych środków trwałych (wyposażenie), podlegają zaliczeniu w koszty zużycia materiałów w miesiącu wydania ich do użytkowania i ujmuje się w ewidencji pozabilansowej ilościowo-wartościowej.</w:t>
      </w:r>
    </w:p>
    <w:p w14:paraId="3E4FC2D7" w14:textId="77777777" w:rsidR="00BF0316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 xml:space="preserve">- środki trwałe o wartości pomiędzy </w:t>
      </w:r>
      <w:r w:rsidR="00A119AD">
        <w:rPr>
          <w:sz w:val="24"/>
          <w:szCs w:val="24"/>
        </w:rPr>
        <w:t>3</w:t>
      </w:r>
      <w:r w:rsidRPr="008727DD">
        <w:rPr>
          <w:sz w:val="24"/>
          <w:szCs w:val="24"/>
        </w:rPr>
        <w:t> 500,00 zł – 10 000,00 zł zalicza się do pozostałych środków trwałych, przy jednoczesnym odpisaniu w koszty zużycia materiałów w miesiącu wydania ich do użytkowania i ujmuje się w ewidencji pozabilansowej ilościowo-wartościowej.</w:t>
      </w:r>
    </w:p>
    <w:p w14:paraId="14F27DC9" w14:textId="77777777" w:rsidR="00010D2F" w:rsidRPr="008727DD" w:rsidRDefault="00BF0316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- środki trwałe o wartości powyżej 10 000,00 zł amortyzowane są z uwzględnien</w:t>
      </w:r>
      <w:r w:rsidR="006C3847" w:rsidRPr="008727DD">
        <w:rPr>
          <w:sz w:val="24"/>
          <w:szCs w:val="24"/>
        </w:rPr>
        <w:t>i</w:t>
      </w:r>
      <w:r w:rsidRPr="008727DD">
        <w:rPr>
          <w:sz w:val="24"/>
          <w:szCs w:val="24"/>
        </w:rPr>
        <w:t>em s</w:t>
      </w:r>
      <w:r w:rsidR="006C3847" w:rsidRPr="008727DD">
        <w:rPr>
          <w:sz w:val="24"/>
          <w:szCs w:val="24"/>
        </w:rPr>
        <w:t>t</w:t>
      </w:r>
      <w:r w:rsidRPr="008727DD">
        <w:rPr>
          <w:sz w:val="24"/>
          <w:szCs w:val="24"/>
        </w:rPr>
        <w:t>awek przewidzianych w przepisach podatkowych (</w:t>
      </w:r>
      <w:r w:rsidR="006C3847" w:rsidRPr="008727DD">
        <w:rPr>
          <w:sz w:val="24"/>
          <w:szCs w:val="24"/>
        </w:rPr>
        <w:t>załącznik nr 1 Ustawy o podatku dochodowym od osób fizycznych, oraz Ustawy o podatku dochodowym od osób prawnych) i ujmuje się w ewidencji ilościowo-wartościowej.</w:t>
      </w:r>
    </w:p>
    <w:p w14:paraId="35D04D08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Zbiory biblioteczne pochodzące z zakupu ujmuje się w cenie nabycia w momencie oddania do użytkowania, a ujawnione nadwyżki lub otrzymane dary wycenia się komisyjnie w oparciu o szacunek ich aktualnej wartości rynkowej. Umorzenie zbiorów bibliotecznych następuje w miesiącu przyjęcia na stan.</w:t>
      </w:r>
    </w:p>
    <w:p w14:paraId="1327EA8D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zakupione materiały na potrzeby Biblioteki uznaje się za zużyte w dacie przyjęcia ich do używania.</w:t>
      </w:r>
    </w:p>
    <w:p w14:paraId="7D5DD100" w14:textId="77777777" w:rsidR="006C3847" w:rsidRPr="008727DD" w:rsidRDefault="006C3847" w:rsidP="008727DD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8727DD">
        <w:rPr>
          <w:sz w:val="24"/>
          <w:szCs w:val="24"/>
        </w:rPr>
        <w:t>Pozostałe aktywa obrotowe wycenia się w kwocie wymaganej zapłaty.</w:t>
      </w:r>
    </w:p>
    <w:p w14:paraId="1327EC88" w14:textId="77777777" w:rsidR="006C3847" w:rsidRDefault="006C3847">
      <w:pPr>
        <w:rPr>
          <w:sz w:val="24"/>
          <w:szCs w:val="24"/>
        </w:rPr>
      </w:pPr>
    </w:p>
    <w:p w14:paraId="7DA9D6DF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Grzmiąca, dnia </w:t>
      </w:r>
      <w:r w:rsidR="00A119AD">
        <w:rPr>
          <w:sz w:val="24"/>
          <w:szCs w:val="24"/>
        </w:rPr>
        <w:t>31 grudzień</w:t>
      </w:r>
      <w:r>
        <w:rPr>
          <w:sz w:val="24"/>
          <w:szCs w:val="24"/>
        </w:rPr>
        <w:t xml:space="preserve"> 202</w:t>
      </w:r>
      <w:r w:rsidR="007814CE">
        <w:rPr>
          <w:sz w:val="24"/>
          <w:szCs w:val="24"/>
        </w:rPr>
        <w:t>2</w:t>
      </w:r>
      <w:r>
        <w:rPr>
          <w:sz w:val="24"/>
          <w:szCs w:val="24"/>
        </w:rPr>
        <w:t xml:space="preserve"> r.</w:t>
      </w:r>
    </w:p>
    <w:p w14:paraId="77A5356D" w14:textId="77777777" w:rsidR="006C3847" w:rsidRDefault="006C3847">
      <w:pPr>
        <w:rPr>
          <w:sz w:val="24"/>
          <w:szCs w:val="24"/>
        </w:rPr>
      </w:pPr>
    </w:p>
    <w:p w14:paraId="17FF7FBA" w14:textId="77777777" w:rsidR="006C3847" w:rsidRDefault="006C3847">
      <w:pPr>
        <w:rPr>
          <w:sz w:val="24"/>
          <w:szCs w:val="24"/>
        </w:rPr>
      </w:pPr>
    </w:p>
    <w:p w14:paraId="3FD3B00D" w14:textId="77777777" w:rsidR="006C3847" w:rsidRDefault="006C3847">
      <w:pPr>
        <w:rPr>
          <w:sz w:val="24"/>
          <w:szCs w:val="24"/>
        </w:rPr>
      </w:pPr>
    </w:p>
    <w:p w14:paraId="3715C661" w14:textId="77777777" w:rsidR="006C3847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Główny Księgowy                                                                Dyrektor</w:t>
      </w:r>
    </w:p>
    <w:p w14:paraId="5968410B" w14:textId="77777777" w:rsidR="006C3847" w:rsidRPr="003B03D6" w:rsidRDefault="006C3847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Teresa Bielawska                                                                 Jadwiga Kasztelan-</w:t>
      </w:r>
      <w:proofErr w:type="spellStart"/>
      <w:r>
        <w:rPr>
          <w:sz w:val="24"/>
          <w:szCs w:val="24"/>
        </w:rPr>
        <w:t>Massopust</w:t>
      </w:r>
      <w:proofErr w:type="spellEnd"/>
    </w:p>
    <w:sectPr w:rsidR="006C3847" w:rsidRPr="003B0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A1E9C"/>
    <w:multiLevelType w:val="hybridMultilevel"/>
    <w:tmpl w:val="16E0E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E91C50"/>
    <w:multiLevelType w:val="hybridMultilevel"/>
    <w:tmpl w:val="1AF0B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221CC"/>
    <w:multiLevelType w:val="hybridMultilevel"/>
    <w:tmpl w:val="788C15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03D6"/>
    <w:rsid w:val="00010D2F"/>
    <w:rsid w:val="003B03D6"/>
    <w:rsid w:val="005A0B50"/>
    <w:rsid w:val="006C3847"/>
    <w:rsid w:val="00734916"/>
    <w:rsid w:val="007814CE"/>
    <w:rsid w:val="008727DD"/>
    <w:rsid w:val="00936A76"/>
    <w:rsid w:val="009D0FB0"/>
    <w:rsid w:val="009E30E1"/>
    <w:rsid w:val="00A119AD"/>
    <w:rsid w:val="00BF0316"/>
    <w:rsid w:val="00C45AE4"/>
    <w:rsid w:val="00E94400"/>
    <w:rsid w:val="00FC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774FA"/>
  <w15:chartTrackingRefBased/>
  <w15:docId w15:val="{6734D851-D186-48BB-8003-EFA6D54D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27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19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19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Teresa Bielawska</cp:lastModifiedBy>
  <cp:revision>2</cp:revision>
  <cp:lastPrinted>2023-01-16T11:38:00Z</cp:lastPrinted>
  <dcterms:created xsi:type="dcterms:W3CDTF">2025-10-23T06:40:00Z</dcterms:created>
  <dcterms:modified xsi:type="dcterms:W3CDTF">2025-10-23T06:40:00Z</dcterms:modified>
</cp:coreProperties>
</file>